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5E" w:rsidRDefault="000D425E" w:rsidP="000D425E">
      <w:pPr>
        <w:tabs>
          <w:tab w:val="left" w:pos="8280"/>
        </w:tabs>
        <w:jc w:val="center"/>
        <w:rPr>
          <w:rFonts w:ascii="Times New Roman" w:hAnsi="Times New Roman"/>
          <w:b/>
          <w:bCs/>
          <w:color w:val="000000"/>
          <w:sz w:val="28"/>
          <w:szCs w:val="28"/>
        </w:rPr>
      </w:pPr>
      <w:r w:rsidRPr="002559C5">
        <w:rPr>
          <w:rFonts w:ascii="Times New Roman" w:hAnsi="Times New Roman"/>
          <w:b/>
          <w:bCs/>
          <w:color w:val="000000"/>
          <w:sz w:val="28"/>
          <w:szCs w:val="28"/>
        </w:rPr>
        <w:t>Географія</w:t>
      </w:r>
    </w:p>
    <w:p w:rsidR="000D425E" w:rsidRPr="001A4179" w:rsidRDefault="000D425E" w:rsidP="000D425E">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5" w:history="1">
        <w:r w:rsidRPr="001A4179">
          <w:rPr>
            <w:rStyle w:val="a3"/>
            <w:rFonts w:ascii="Times New Roman" w:hAnsi="Times New Roman"/>
            <w:sz w:val="28"/>
            <w:szCs w:val="28"/>
            <w:lang w:eastAsia="uk-UA"/>
          </w:rPr>
          <w:t>http://old.mon.gov.ua/ua/activity/education/56/692/educational</w:t>
        </w:r>
      </w:hyperlink>
    </w:p>
    <w:p w:rsidR="000D425E" w:rsidRPr="001A4179" w:rsidRDefault="000D425E" w:rsidP="000D425E">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0D425E" w:rsidRPr="008C2431" w:rsidRDefault="000D425E" w:rsidP="000D425E">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0D425E" w:rsidRPr="008C2431" w:rsidRDefault="000D425E" w:rsidP="000D425E">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0D425E" w:rsidRPr="003B77CE"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0D425E" w:rsidRPr="008C2431" w:rsidRDefault="000D425E" w:rsidP="000D425E">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0D425E" w:rsidRPr="008C2431" w:rsidRDefault="000D425E" w:rsidP="000D425E">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w:t>
      </w:r>
      <w:r w:rsidRPr="008C2431">
        <w:rPr>
          <w:rFonts w:ascii="Times New Roman" w:hAnsi="Times New Roman"/>
          <w:sz w:val="28"/>
          <w:szCs w:val="28"/>
        </w:rPr>
        <w:lastRenderedPageBreak/>
        <w:t xml:space="preserve">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0D425E" w:rsidRPr="008C2431" w:rsidRDefault="000D425E" w:rsidP="000D425E">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0D425E" w:rsidRPr="008C2431" w:rsidRDefault="000D425E" w:rsidP="000D425E">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0D425E" w:rsidRPr="005027AA" w:rsidRDefault="000D425E" w:rsidP="000D425E">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0D425E" w:rsidRPr="008C2431" w:rsidRDefault="000D425E" w:rsidP="000D425E">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0D425E" w:rsidRPr="008C2431" w:rsidRDefault="000D425E" w:rsidP="000D425E">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0D425E" w:rsidRDefault="000D425E" w:rsidP="000D425E">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0D425E" w:rsidRPr="008C2431" w:rsidRDefault="000D425E" w:rsidP="000D425E">
      <w:pPr>
        <w:ind w:firstLine="708"/>
        <w:rPr>
          <w:rFonts w:ascii="Times New Roman" w:hAnsi="Times New Roman"/>
          <w:sz w:val="28"/>
          <w:szCs w:val="28"/>
        </w:rPr>
      </w:pPr>
      <w:r w:rsidRPr="008C2431">
        <w:rPr>
          <w:rFonts w:ascii="Times New Roman" w:hAnsi="Times New Roman"/>
          <w:sz w:val="28"/>
          <w:szCs w:val="28"/>
        </w:rPr>
        <w:lastRenderedPageBreak/>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0D425E" w:rsidRPr="008C2431" w:rsidRDefault="000D425E" w:rsidP="000D425E">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0D425E" w:rsidRPr="008C2431" w:rsidRDefault="000D425E" w:rsidP="000D425E">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0D425E" w:rsidRPr="008C2431" w:rsidRDefault="000D425E" w:rsidP="000D425E">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0D425E" w:rsidRPr="008C2431" w:rsidRDefault="000D425E" w:rsidP="000D425E">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6" w:history="1">
        <w:r w:rsidRPr="001A4179">
          <w:rPr>
            <w:rStyle w:val="a3"/>
            <w:rFonts w:ascii="Times New Roman" w:hAnsi="Times New Roman"/>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7" w:history="1">
        <w:r w:rsidRPr="001A4179">
          <w:rPr>
            <w:rStyle w:val="a3"/>
            <w:rFonts w:ascii="Times New Roman" w:hAnsi="Times New Roman"/>
            <w:sz w:val="28"/>
            <w:szCs w:val="28"/>
          </w:rPr>
          <w:t>https://sites.google.com/site</w:t>
        </w:r>
      </w:hyperlink>
      <w:r w:rsidRPr="001A4179">
        <w:rPr>
          <w:rFonts w:ascii="Times New Roman" w:hAnsi="Times New Roman"/>
          <w:sz w:val="28"/>
          <w:szCs w:val="28"/>
        </w:rPr>
        <w:t>;</w:t>
      </w:r>
      <w:hyperlink r:id="rId8" w:history="1">
        <w:r w:rsidRPr="001A4179">
          <w:rPr>
            <w:rStyle w:val="a3"/>
            <w:rFonts w:ascii="Times New Roman" w:hAnsi="Times New Roman"/>
            <w:sz w:val="28"/>
            <w:szCs w:val="28"/>
          </w:rPr>
          <w:t>http://geographer.com.ua/</w:t>
        </w:r>
      </w:hyperlink>
      <w:r w:rsidRPr="008C2431">
        <w:rPr>
          <w:rFonts w:ascii="Times New Roman" w:hAnsi="Times New Roman"/>
          <w:sz w:val="28"/>
          <w:szCs w:val="28"/>
        </w:rPr>
        <w:t xml:space="preserve"> тощо. </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lastRenderedPageBreak/>
        <w:t xml:space="preserve">Програми для загальноосвітніх навчальних закладів. Географія. Економіка. 6-11. К.: «Перун»; 2005, 2006; </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0D425E" w:rsidRPr="008C2431" w:rsidRDefault="000D425E" w:rsidP="000D425E">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0D425E" w:rsidRPr="008C2431" w:rsidRDefault="000D425E" w:rsidP="000D425E">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0D425E" w:rsidRDefault="000D425E" w:rsidP="000D425E">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0D425E" w:rsidRPr="00E81AD7" w:rsidRDefault="000D425E" w:rsidP="000D425E">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157727" w:rsidRDefault="00157727">
      <w:bookmarkStart w:id="0" w:name="_GoBack"/>
      <w:bookmarkEnd w:id="0"/>
    </w:p>
    <w:sectPr w:rsidR="0015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5E"/>
    <w:rsid w:val="000D425E"/>
    <w:rsid w:val="0015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5E"/>
    <w:pPr>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4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5E"/>
    <w:pPr>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4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er.com.ua/" TargetMode="External"/><Relationship Id="rId3" Type="http://schemas.openxmlformats.org/officeDocument/2006/relationships/settings" Target="settings.xml"/><Relationship Id="rId7" Type="http://schemas.openxmlformats.org/officeDocument/2006/relationships/hyperlink" Target="https://sites.google.com/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eografica.net.ua/" TargetMode="External"/><Relationship Id="rId5" Type="http://schemas.openxmlformats.org/officeDocument/2006/relationships/hyperlink" Target="http://old.mon.gov.ua/ua/activity/education/56/692/educatio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pedagog_org</dc:creator>
  <cp:keywords/>
  <dc:description/>
  <cp:lastModifiedBy>pedagog_org</cp:lastModifiedBy>
  <cp:revision>1</cp:revision>
  <dcterms:created xsi:type="dcterms:W3CDTF">2015-08-19T06:59:00Z</dcterms:created>
  <dcterms:modified xsi:type="dcterms:W3CDTF">2015-08-19T06:59:00Z</dcterms:modified>
</cp:coreProperties>
</file>